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3C6D75C4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83373F">
        <w:rPr>
          <w:rFonts w:ascii="Arial" w:eastAsia="MS Mincho" w:hAnsi="Arial"/>
          <w:b/>
          <w:sz w:val="24"/>
          <w:szCs w:val="24"/>
          <w:lang w:val="en-GB" w:eastAsia="x-none"/>
        </w:rPr>
        <w:t>3478</w:t>
      </w:r>
    </w:p>
    <w:p w14:paraId="6F9F5433" w14:textId="60856711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21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>March 3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AB79FF6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EC149F">
        <w:rPr>
          <w:rFonts w:ascii="Arial" w:hAnsi="Arial" w:cs="Arial"/>
          <w:b/>
          <w:bCs/>
          <w:sz w:val="24"/>
          <w:szCs w:val="20"/>
        </w:rPr>
        <w:t>9.3.2.1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FA49812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EC149F">
        <w:rPr>
          <w:rFonts w:ascii="Arial" w:hAnsi="Arial" w:cs="Arial"/>
          <w:b/>
          <w:bCs/>
          <w:sz w:val="24"/>
          <w:szCs w:val="20"/>
        </w:rPr>
        <w:t>On supporting PEI with eDRX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B6271E7" w14:textId="0FB10E9A" w:rsidR="00424C69" w:rsidRDefault="00424C69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F87B73">
        <w:rPr>
          <w:sz w:val="20"/>
          <w:szCs w:val="20"/>
        </w:rPr>
        <w:t xml:space="preserve">RAN2 </w:t>
      </w:r>
      <w:r>
        <w:rPr>
          <w:sz w:val="20"/>
          <w:szCs w:val="20"/>
        </w:rPr>
        <w:t>meeting #116bis</w:t>
      </w:r>
      <w:r w:rsidR="00F87B73">
        <w:rPr>
          <w:sz w:val="20"/>
          <w:szCs w:val="20"/>
        </w:rPr>
        <w:t>-</w:t>
      </w:r>
      <w:r>
        <w:rPr>
          <w:sz w:val="20"/>
          <w:szCs w:val="20"/>
        </w:rPr>
        <w:t xml:space="preserve">e [1], </w:t>
      </w:r>
      <w:r w:rsidR="006F566D">
        <w:rPr>
          <w:sz w:val="20"/>
          <w:szCs w:val="20"/>
        </w:rPr>
        <w:t>it</w:t>
      </w:r>
      <w:r>
        <w:rPr>
          <w:sz w:val="20"/>
          <w:szCs w:val="20"/>
        </w:rPr>
        <w:t xml:space="preserve"> was </w:t>
      </w:r>
      <w:r w:rsidR="00F34D52">
        <w:rPr>
          <w:sz w:val="20"/>
          <w:szCs w:val="20"/>
        </w:rPr>
        <w:t xml:space="preserve">concluded </w:t>
      </w:r>
      <w:r w:rsidR="006F566D">
        <w:rPr>
          <w:sz w:val="20"/>
          <w:szCs w:val="20"/>
        </w:rPr>
        <w:t>that</w:t>
      </w:r>
      <w:r>
        <w:rPr>
          <w:sz w:val="20"/>
          <w:szCs w:val="20"/>
        </w:rPr>
        <w:t xml:space="preserve"> </w:t>
      </w:r>
      <w:r w:rsidR="006F566D">
        <w:rPr>
          <w:sz w:val="20"/>
          <w:szCs w:val="20"/>
        </w:rPr>
        <w:t>“</w:t>
      </w:r>
      <w:r w:rsidRPr="00424C69">
        <w:rPr>
          <w:sz w:val="20"/>
          <w:szCs w:val="20"/>
        </w:rPr>
        <w:t>RAN2 aims to Support PEI and subgrouping with eDRX</w:t>
      </w:r>
      <w:r w:rsidR="006F566D">
        <w:rPr>
          <w:sz w:val="20"/>
          <w:szCs w:val="20"/>
        </w:rPr>
        <w:t>”</w:t>
      </w:r>
      <w:r w:rsidR="00EC149F">
        <w:rPr>
          <w:sz w:val="20"/>
          <w:szCs w:val="20"/>
        </w:rPr>
        <w:t>.</w:t>
      </w:r>
      <w:r w:rsidR="00EC149F" w:rsidRPr="00EC149F">
        <w:rPr>
          <w:sz w:val="20"/>
          <w:szCs w:val="20"/>
        </w:rPr>
        <w:t xml:space="preserve"> </w:t>
      </w:r>
    </w:p>
    <w:p w14:paraId="722309D8" w14:textId="55EC64F5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propose some details </w:t>
      </w:r>
      <w:r w:rsidR="00F87B73">
        <w:rPr>
          <w:sz w:val="20"/>
          <w:szCs w:val="20"/>
        </w:rPr>
        <w:t>regarding</w:t>
      </w:r>
      <w:r>
        <w:rPr>
          <w:sz w:val="20"/>
          <w:szCs w:val="20"/>
        </w:rPr>
        <w:t xml:space="preserve"> support </w:t>
      </w:r>
      <w:r w:rsidR="00F87B73">
        <w:rPr>
          <w:sz w:val="20"/>
          <w:szCs w:val="20"/>
        </w:rPr>
        <w:t xml:space="preserve">of </w:t>
      </w:r>
      <w:r>
        <w:rPr>
          <w:sz w:val="20"/>
          <w:szCs w:val="20"/>
        </w:rPr>
        <w:t>PEI with eDRX</w:t>
      </w:r>
      <w:r w:rsidR="009770BB">
        <w:rPr>
          <w:sz w:val="20"/>
          <w:szCs w:val="20"/>
        </w:rPr>
        <w:t>.</w:t>
      </w:r>
    </w:p>
    <w:p w14:paraId="16483CD3" w14:textId="50F24E8F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F73BF19" w14:textId="5163ED5C" w:rsidR="00585586" w:rsidRDefault="00EC149F" w:rsidP="00B61B79">
      <w:pPr>
        <w:pStyle w:val="Heading2"/>
      </w:pPr>
      <w:r>
        <w:t>Introducing dedicated subgroup for UEs configured with eDRX</w:t>
      </w:r>
    </w:p>
    <w:p w14:paraId="0FAA93BA" w14:textId="77777777" w:rsidR="00F55B69" w:rsidRDefault="00EC149F" w:rsidP="00C5153E">
      <w:pPr>
        <w:rPr>
          <w:sz w:val="20"/>
          <w:szCs w:val="20"/>
        </w:rPr>
      </w:pPr>
      <w:r w:rsidRPr="00EC149F">
        <w:rPr>
          <w:sz w:val="20"/>
          <w:szCs w:val="20"/>
        </w:rPr>
        <w:t>UEs running on eDRX cycle</w:t>
      </w:r>
      <w:r w:rsidR="00155BFB">
        <w:rPr>
          <w:sz w:val="20"/>
          <w:szCs w:val="20"/>
        </w:rPr>
        <w:t>s</w:t>
      </w:r>
      <w:r w:rsidRPr="00EC149F">
        <w:rPr>
          <w:sz w:val="20"/>
          <w:szCs w:val="20"/>
        </w:rPr>
        <w:t xml:space="preserve"> tend to be paged rarely </w:t>
      </w:r>
      <w:r w:rsidR="00155BFB">
        <w:rPr>
          <w:sz w:val="20"/>
          <w:szCs w:val="20"/>
        </w:rPr>
        <w:t>and</w:t>
      </w:r>
      <w:r w:rsidRPr="00EC149F">
        <w:rPr>
          <w:sz w:val="20"/>
          <w:szCs w:val="20"/>
        </w:rPr>
        <w:t xml:space="preserve"> power sensitive. </w:t>
      </w:r>
      <w:r w:rsidR="00155BFB">
        <w:rPr>
          <w:sz w:val="20"/>
          <w:szCs w:val="20"/>
        </w:rPr>
        <w:t xml:space="preserve">When </w:t>
      </w:r>
      <w:r w:rsidR="00155401">
        <w:rPr>
          <w:sz w:val="20"/>
          <w:szCs w:val="20"/>
        </w:rPr>
        <w:t>they</w:t>
      </w:r>
      <w:r w:rsidR="00155BFB">
        <w:rPr>
          <w:sz w:val="20"/>
          <w:szCs w:val="20"/>
        </w:rPr>
        <w:t xml:space="preserve"> share a same subgroup ID and PO with other UEs not configured with eDRX, their false paging alarm rate may still be too high</w:t>
      </w:r>
      <w:r w:rsidR="00155401">
        <w:rPr>
          <w:sz w:val="20"/>
          <w:szCs w:val="20"/>
        </w:rPr>
        <w:t xml:space="preserve"> due to </w:t>
      </w:r>
      <w:r w:rsidR="00325A90">
        <w:rPr>
          <w:sz w:val="20"/>
          <w:szCs w:val="20"/>
        </w:rPr>
        <w:t xml:space="preserve">(relatively) </w:t>
      </w:r>
      <w:r w:rsidR="00155401">
        <w:rPr>
          <w:sz w:val="20"/>
          <w:szCs w:val="20"/>
        </w:rPr>
        <w:t>frequent paging for UEs not configured with eDRX but sharing the same subgroup ID and PO</w:t>
      </w:r>
      <w:r w:rsidR="00155BFB">
        <w:rPr>
          <w:sz w:val="20"/>
          <w:szCs w:val="20"/>
        </w:rPr>
        <w:t xml:space="preserve">. Therefore, it may be desirable to separate UEs configured with eDRX cycles from UEs configured with legacy DRX cycles. </w:t>
      </w:r>
    </w:p>
    <w:p w14:paraId="3A1DE4ED" w14:textId="2C43200B" w:rsidR="00155BFB" w:rsidRDefault="00F55B69" w:rsidP="00C5153E">
      <w:pPr>
        <w:rPr>
          <w:sz w:val="20"/>
          <w:szCs w:val="20"/>
        </w:rPr>
      </w:pPr>
      <w:r>
        <w:rPr>
          <w:sz w:val="20"/>
          <w:szCs w:val="20"/>
        </w:rPr>
        <w:t>There are two approaches for separating UEs configured with eDRX cycles from UEs configured with legacy DRX cycles: CN-based and RAN-based.</w:t>
      </w:r>
    </w:p>
    <w:p w14:paraId="40834142" w14:textId="5DC563E4" w:rsidR="00F779C1" w:rsidRDefault="00F779C1" w:rsidP="00F779C1">
      <w:pPr>
        <w:pStyle w:val="Heading2"/>
      </w:pPr>
      <w:r>
        <w:t>CN-based approach</w:t>
      </w:r>
    </w:p>
    <w:p w14:paraId="535FFF5F" w14:textId="7BD9150C" w:rsidR="00155BFB" w:rsidRDefault="00F55B69" w:rsidP="00C5153E">
      <w:pPr>
        <w:rPr>
          <w:sz w:val="20"/>
          <w:szCs w:val="20"/>
        </w:rPr>
      </w:pPr>
      <w:r>
        <w:rPr>
          <w:sz w:val="20"/>
          <w:szCs w:val="20"/>
        </w:rPr>
        <w:t>In CN-based approach, t</w:t>
      </w:r>
      <w:r w:rsidR="00155BFB">
        <w:rPr>
          <w:sz w:val="20"/>
          <w:szCs w:val="20"/>
        </w:rPr>
        <w:t xml:space="preserve">he AMF may separate a UE configured with </w:t>
      </w:r>
      <w:r w:rsidR="00FC3981">
        <w:rPr>
          <w:sz w:val="20"/>
          <w:szCs w:val="20"/>
        </w:rPr>
        <w:t xml:space="preserve">an </w:t>
      </w:r>
      <w:r w:rsidR="00155BFB">
        <w:rPr>
          <w:sz w:val="20"/>
          <w:szCs w:val="20"/>
        </w:rPr>
        <w:t xml:space="preserve">eDRX cycle from UEs configured with legacy DRX cycles when assigning a CN-assigned subgroup ID to the UE configured </w:t>
      </w:r>
      <w:r w:rsidR="00E806DF">
        <w:rPr>
          <w:sz w:val="20"/>
          <w:szCs w:val="20"/>
        </w:rPr>
        <w:t>with eDRX cycle</w:t>
      </w:r>
      <w:r w:rsidR="00155BFB">
        <w:rPr>
          <w:sz w:val="20"/>
          <w:szCs w:val="20"/>
        </w:rPr>
        <w:t>.</w:t>
      </w:r>
      <w:r w:rsidR="00E806DF">
        <w:rPr>
          <w:sz w:val="20"/>
          <w:szCs w:val="20"/>
        </w:rPr>
        <w:t xml:space="preserve"> For example, the AMF may dedicate a CN-assigned subgroup for UEs configured with eDRX cycles. </w:t>
      </w:r>
      <w:r w:rsidR="00F97B3C">
        <w:rPr>
          <w:sz w:val="20"/>
          <w:szCs w:val="20"/>
        </w:rPr>
        <w:t xml:space="preserve">Such special </w:t>
      </w:r>
      <w:r w:rsidR="00041B1E">
        <w:rPr>
          <w:sz w:val="20"/>
          <w:szCs w:val="20"/>
        </w:rPr>
        <w:t xml:space="preserve">subgrouping </w:t>
      </w:r>
      <w:r w:rsidR="00F97B3C">
        <w:rPr>
          <w:sz w:val="20"/>
          <w:szCs w:val="20"/>
        </w:rPr>
        <w:t xml:space="preserve">is transparent to RAN. </w:t>
      </w:r>
      <w:r w:rsidR="00E806DF">
        <w:rPr>
          <w:sz w:val="20"/>
          <w:szCs w:val="20"/>
        </w:rPr>
        <w:t xml:space="preserve">However, this means that the AMF may not be able to assign a CN-assigned subgroup to </w:t>
      </w:r>
      <w:r w:rsidR="00FC3981">
        <w:rPr>
          <w:sz w:val="20"/>
          <w:szCs w:val="20"/>
        </w:rPr>
        <w:t>the</w:t>
      </w:r>
      <w:r w:rsidR="00E806DF">
        <w:rPr>
          <w:sz w:val="20"/>
          <w:szCs w:val="20"/>
        </w:rPr>
        <w:t xml:space="preserve"> UE until the AMF knows </w:t>
      </w:r>
      <w:r w:rsidR="00155401">
        <w:rPr>
          <w:sz w:val="20"/>
          <w:szCs w:val="20"/>
        </w:rPr>
        <w:t>whether</w:t>
      </w:r>
      <w:r w:rsidR="00E806DF">
        <w:rPr>
          <w:sz w:val="20"/>
          <w:szCs w:val="20"/>
        </w:rPr>
        <w:t xml:space="preserve"> the UE has been configured with an eDRX cycle</w:t>
      </w:r>
      <w:r w:rsidR="00155401">
        <w:rPr>
          <w:sz w:val="20"/>
          <w:szCs w:val="20"/>
        </w:rPr>
        <w:t xml:space="preserve">, or </w:t>
      </w:r>
      <w:r w:rsidR="00FC3981">
        <w:rPr>
          <w:sz w:val="20"/>
          <w:szCs w:val="20"/>
        </w:rPr>
        <w:t xml:space="preserve">means </w:t>
      </w:r>
      <w:r w:rsidR="00155401">
        <w:rPr>
          <w:sz w:val="20"/>
          <w:szCs w:val="20"/>
        </w:rPr>
        <w:t>that the AMF</w:t>
      </w:r>
      <w:r w:rsidR="00FC3981">
        <w:rPr>
          <w:sz w:val="20"/>
          <w:szCs w:val="20"/>
        </w:rPr>
        <w:t>, after the initial assignment,</w:t>
      </w:r>
      <w:r w:rsidR="00155401">
        <w:rPr>
          <w:sz w:val="20"/>
          <w:szCs w:val="20"/>
        </w:rPr>
        <w:t xml:space="preserve"> may </w:t>
      </w:r>
      <w:r w:rsidR="00FC3981">
        <w:rPr>
          <w:sz w:val="20"/>
          <w:szCs w:val="20"/>
        </w:rPr>
        <w:t>need</w:t>
      </w:r>
      <w:r w:rsidR="00155401">
        <w:rPr>
          <w:sz w:val="20"/>
          <w:szCs w:val="20"/>
        </w:rPr>
        <w:t xml:space="preserve"> to </w:t>
      </w:r>
      <w:r w:rsidR="00EF5F50">
        <w:rPr>
          <w:sz w:val="20"/>
          <w:szCs w:val="20"/>
        </w:rPr>
        <w:t>re-</w:t>
      </w:r>
      <w:r w:rsidR="00155401">
        <w:rPr>
          <w:sz w:val="20"/>
          <w:szCs w:val="20"/>
        </w:rPr>
        <w:t>assign</w:t>
      </w:r>
      <w:r w:rsidR="00EF5F50">
        <w:rPr>
          <w:sz w:val="20"/>
          <w:szCs w:val="20"/>
        </w:rPr>
        <w:t xml:space="preserve"> the UE to the dedicated CN-assigned subgroup after the AMF knows that the UE has been configured with an eDRX cycle.</w:t>
      </w:r>
      <w:r w:rsidR="00155401">
        <w:rPr>
          <w:sz w:val="20"/>
          <w:szCs w:val="20"/>
        </w:rPr>
        <w:t xml:space="preserve"> </w:t>
      </w:r>
      <w:r w:rsidR="00951940">
        <w:rPr>
          <w:sz w:val="20"/>
          <w:szCs w:val="20"/>
        </w:rPr>
        <w:t xml:space="preserve">In later case, another NAS signaling </w:t>
      </w:r>
      <w:r w:rsidR="00F34D52">
        <w:rPr>
          <w:sz w:val="20"/>
          <w:szCs w:val="20"/>
        </w:rPr>
        <w:t xml:space="preserve">to the UE </w:t>
      </w:r>
      <w:r w:rsidR="00951940">
        <w:rPr>
          <w:sz w:val="20"/>
          <w:szCs w:val="20"/>
        </w:rPr>
        <w:t xml:space="preserve">is needed. </w:t>
      </w:r>
    </w:p>
    <w:p w14:paraId="4FDB5F5B" w14:textId="184ECFE3" w:rsidR="00F779C1" w:rsidRDefault="00F779C1" w:rsidP="00F779C1">
      <w:pPr>
        <w:pStyle w:val="Heading2"/>
      </w:pPr>
      <w:r>
        <w:t>RAN-based approach</w:t>
      </w:r>
    </w:p>
    <w:p w14:paraId="76693E64" w14:textId="1CB80399" w:rsidR="00B47672" w:rsidRDefault="00F55B69" w:rsidP="00F55B69">
      <w:pPr>
        <w:rPr>
          <w:sz w:val="20"/>
          <w:szCs w:val="20"/>
        </w:rPr>
      </w:pPr>
      <w:r>
        <w:rPr>
          <w:sz w:val="20"/>
          <w:szCs w:val="20"/>
        </w:rPr>
        <w:t>In RAN-based approach</w:t>
      </w:r>
      <w:r w:rsidR="00FC3981">
        <w:rPr>
          <w:sz w:val="20"/>
          <w:szCs w:val="20"/>
        </w:rPr>
        <w:t xml:space="preserve">, the RAN, on a per-cell basis, may dedicate a subgroup </w:t>
      </w:r>
      <w:r w:rsidR="009B304C">
        <w:rPr>
          <w:sz w:val="20"/>
          <w:szCs w:val="20"/>
        </w:rPr>
        <w:t>(</w:t>
      </w:r>
      <w:r w:rsidR="00FC3981">
        <w:rPr>
          <w:sz w:val="20"/>
          <w:szCs w:val="20"/>
        </w:rPr>
        <w:t xml:space="preserve">e.g., </w:t>
      </w:r>
      <w:r w:rsidR="009B304C">
        <w:rPr>
          <w:sz w:val="20"/>
          <w:szCs w:val="20"/>
        </w:rPr>
        <w:t xml:space="preserve">a subgroup </w:t>
      </w:r>
      <w:r>
        <w:rPr>
          <w:sz w:val="20"/>
          <w:szCs w:val="20"/>
        </w:rPr>
        <w:t xml:space="preserve">taken </w:t>
      </w:r>
      <w:r w:rsidR="009B304C">
        <w:rPr>
          <w:sz w:val="20"/>
          <w:szCs w:val="20"/>
        </w:rPr>
        <w:t>from N</w:t>
      </w:r>
      <w:r w:rsidR="009B304C" w:rsidRPr="009B304C">
        <w:rPr>
          <w:sz w:val="20"/>
          <w:szCs w:val="20"/>
          <w:vertAlign w:val="subscript"/>
        </w:rPr>
        <w:t>sg-UEID</w:t>
      </w:r>
      <w:r w:rsidR="009B304C" w:rsidRPr="00B47672">
        <w:rPr>
          <w:sz w:val="20"/>
          <w:szCs w:val="20"/>
        </w:rPr>
        <w:t xml:space="preserve"> </w:t>
      </w:r>
      <w:r w:rsidR="009B304C">
        <w:rPr>
          <w:sz w:val="20"/>
          <w:szCs w:val="20"/>
        </w:rPr>
        <w:t xml:space="preserve">RAN-controlled groups but is not used for </w:t>
      </w:r>
      <w:r w:rsidR="00FC3981">
        <w:rPr>
          <w:sz w:val="20"/>
          <w:szCs w:val="20"/>
        </w:rPr>
        <w:t>UEID-based subgroup</w:t>
      </w:r>
      <w:r w:rsidR="009B304C">
        <w:rPr>
          <w:sz w:val="20"/>
          <w:szCs w:val="20"/>
        </w:rPr>
        <w:t>ing)</w:t>
      </w:r>
      <w:r w:rsidR="00FC3981">
        <w:rPr>
          <w:sz w:val="20"/>
          <w:szCs w:val="20"/>
        </w:rPr>
        <w:t xml:space="preserve"> for UEs configured with eDRX cycles. The RAN broadcasts the subgroup ID of this dedicated subgroup</w:t>
      </w:r>
      <w:r w:rsidR="00AD6579">
        <w:rPr>
          <w:sz w:val="20"/>
          <w:szCs w:val="20"/>
        </w:rPr>
        <w:t xml:space="preserve"> or simply </w:t>
      </w:r>
      <w:r>
        <w:rPr>
          <w:sz w:val="20"/>
          <w:szCs w:val="20"/>
        </w:rPr>
        <w:t xml:space="preserve">broadcasts </w:t>
      </w:r>
      <w:r w:rsidR="00AD6579">
        <w:rPr>
          <w:sz w:val="20"/>
          <w:szCs w:val="20"/>
        </w:rPr>
        <w:t xml:space="preserve">an indicator indicating that there is a dedicated RAN-controlled group for UEs configured with eDRX cycles. </w:t>
      </w:r>
      <w:r w:rsidR="00A77802">
        <w:rPr>
          <w:sz w:val="20"/>
          <w:szCs w:val="20"/>
        </w:rPr>
        <w:t>The s</w:t>
      </w:r>
      <w:r w:rsidR="00AD6579">
        <w:rPr>
          <w:sz w:val="20"/>
          <w:szCs w:val="20"/>
        </w:rPr>
        <w:t>ubgroup ID of the dedicated subgroup is determined as the last RAN-controlled subgroup ID</w:t>
      </w:r>
      <w:r>
        <w:rPr>
          <w:sz w:val="20"/>
          <w:szCs w:val="20"/>
        </w:rPr>
        <w:t xml:space="preserve">, </w:t>
      </w:r>
      <w:r w:rsidR="00AD6579">
        <w:rPr>
          <w:sz w:val="20"/>
          <w:szCs w:val="20"/>
        </w:rPr>
        <w:t>which is also the last subgroup ID among all subgroups configured in the cell</w:t>
      </w:r>
      <w:r w:rsidR="00A77802">
        <w:rPr>
          <w:sz w:val="20"/>
          <w:szCs w:val="20"/>
        </w:rPr>
        <w:t>,</w:t>
      </w:r>
      <w:r w:rsidR="00B47672">
        <w:rPr>
          <w:sz w:val="20"/>
          <w:szCs w:val="20"/>
        </w:rPr>
        <w:t xml:space="preserve"> and therefore can be determined directly from </w:t>
      </w:r>
      <w:r w:rsidR="00B47672" w:rsidRPr="00A77802">
        <w:rPr>
          <w:i/>
          <w:iCs/>
          <w:sz w:val="20"/>
          <w:szCs w:val="20"/>
        </w:rPr>
        <w:t>subgroupNumPerPO</w:t>
      </w:r>
      <w:r w:rsidR="00AD6579">
        <w:rPr>
          <w:sz w:val="20"/>
          <w:szCs w:val="20"/>
        </w:rPr>
        <w:t xml:space="preserve">. </w:t>
      </w:r>
    </w:p>
    <w:p w14:paraId="0E474973" w14:textId="4EB18F4B" w:rsidR="004532F2" w:rsidRDefault="00AD6579" w:rsidP="00F55B69">
      <w:pPr>
        <w:rPr>
          <w:sz w:val="20"/>
          <w:szCs w:val="20"/>
        </w:rPr>
      </w:pPr>
      <w:r>
        <w:rPr>
          <w:sz w:val="20"/>
          <w:szCs w:val="20"/>
        </w:rPr>
        <w:t xml:space="preserve">The presence </w:t>
      </w:r>
      <w:r w:rsidR="00EC3F2D">
        <w:rPr>
          <w:sz w:val="20"/>
          <w:szCs w:val="20"/>
        </w:rPr>
        <w:t xml:space="preserve">(in the SI) </w:t>
      </w:r>
      <w:r>
        <w:rPr>
          <w:sz w:val="20"/>
          <w:szCs w:val="20"/>
        </w:rPr>
        <w:t>of the subgroup ID of the dedicated subgroup</w:t>
      </w:r>
      <w:r w:rsidR="00B47672">
        <w:rPr>
          <w:sz w:val="20"/>
          <w:szCs w:val="20"/>
        </w:rPr>
        <w:t xml:space="preserve"> </w:t>
      </w:r>
      <w:r>
        <w:rPr>
          <w:sz w:val="20"/>
          <w:szCs w:val="20"/>
        </w:rPr>
        <w:t>or the presence of the indicator indicating that there is a dedicated RAN-controlled group</w:t>
      </w:r>
      <w:r w:rsidR="00620FF4">
        <w:rPr>
          <w:sz w:val="20"/>
          <w:szCs w:val="20"/>
        </w:rPr>
        <w:t xml:space="preserve"> also indicates to UEs</w:t>
      </w:r>
      <w:r w:rsidR="00EC3F2D">
        <w:rPr>
          <w:sz w:val="20"/>
          <w:szCs w:val="20"/>
        </w:rPr>
        <w:t>, which</w:t>
      </w:r>
      <w:r w:rsidR="00620FF4">
        <w:rPr>
          <w:sz w:val="20"/>
          <w:szCs w:val="20"/>
        </w:rPr>
        <w:t xml:space="preserve"> will use the UEID-based subgrouping in the cell</w:t>
      </w:r>
      <w:r w:rsidR="00EC3F2D">
        <w:rPr>
          <w:sz w:val="20"/>
          <w:szCs w:val="20"/>
        </w:rPr>
        <w:t>,</w:t>
      </w:r>
      <w:r w:rsidR="00620FF4">
        <w:rPr>
          <w:sz w:val="20"/>
          <w:szCs w:val="20"/>
        </w:rPr>
        <w:t xml:space="preserve"> </w:t>
      </w:r>
      <w:r w:rsidR="00EC3F2D">
        <w:rPr>
          <w:sz w:val="20"/>
          <w:szCs w:val="20"/>
        </w:rPr>
        <w:t>a need to</w:t>
      </w:r>
      <w:r w:rsidR="00620FF4">
        <w:rPr>
          <w:sz w:val="20"/>
          <w:szCs w:val="20"/>
        </w:rPr>
        <w:t xml:space="preserve"> subtract N</w:t>
      </w:r>
      <w:r w:rsidR="00620FF4" w:rsidRPr="00620FF4">
        <w:rPr>
          <w:sz w:val="20"/>
          <w:szCs w:val="20"/>
          <w:vertAlign w:val="subscript"/>
        </w:rPr>
        <w:t xml:space="preserve">sg-UEID </w:t>
      </w:r>
      <w:r w:rsidR="00620FF4">
        <w:rPr>
          <w:sz w:val="20"/>
          <w:szCs w:val="20"/>
        </w:rPr>
        <w:t>broadcasted in the SI by one before using the subtracted N</w:t>
      </w:r>
      <w:r w:rsidR="00620FF4" w:rsidRPr="00620FF4">
        <w:rPr>
          <w:sz w:val="20"/>
          <w:szCs w:val="20"/>
          <w:vertAlign w:val="subscript"/>
        </w:rPr>
        <w:t>sg-UEID</w:t>
      </w:r>
      <w:r w:rsidR="00620FF4" w:rsidRPr="00620FF4">
        <w:rPr>
          <w:sz w:val="20"/>
          <w:szCs w:val="20"/>
        </w:rPr>
        <w:t xml:space="preserve"> </w:t>
      </w:r>
      <w:r w:rsidR="00B47672">
        <w:rPr>
          <w:sz w:val="20"/>
          <w:szCs w:val="20"/>
        </w:rPr>
        <w:t>in</w:t>
      </w:r>
      <w:r w:rsidR="00620FF4" w:rsidRPr="00620FF4">
        <w:rPr>
          <w:sz w:val="20"/>
          <w:szCs w:val="20"/>
        </w:rPr>
        <w:t xml:space="preserve"> hash</w:t>
      </w:r>
      <w:r w:rsidR="00B47672">
        <w:rPr>
          <w:sz w:val="20"/>
          <w:szCs w:val="20"/>
        </w:rPr>
        <w:t>ing</w:t>
      </w:r>
      <w:r w:rsidR="00620FF4" w:rsidRPr="00620FF4">
        <w:rPr>
          <w:sz w:val="20"/>
          <w:szCs w:val="20"/>
        </w:rPr>
        <w:t xml:space="preserve"> its UEID.</w:t>
      </w:r>
      <w:r w:rsidR="00F55B69">
        <w:rPr>
          <w:sz w:val="20"/>
          <w:szCs w:val="20"/>
        </w:rPr>
        <w:t xml:space="preserve"> </w:t>
      </w:r>
    </w:p>
    <w:p w14:paraId="70BF11A2" w14:textId="3F06CA2D" w:rsidR="004532F2" w:rsidRDefault="00F55B69" w:rsidP="00F55B69">
      <w:pPr>
        <w:rPr>
          <w:sz w:val="20"/>
          <w:szCs w:val="20"/>
        </w:rPr>
      </w:pPr>
      <w:r>
        <w:rPr>
          <w:sz w:val="20"/>
          <w:szCs w:val="20"/>
        </w:rPr>
        <w:t xml:space="preserve">With the RAN-based approach, </w:t>
      </w:r>
      <w:r w:rsidR="004532F2">
        <w:rPr>
          <w:sz w:val="20"/>
          <w:szCs w:val="20"/>
        </w:rPr>
        <w:t>any</w:t>
      </w:r>
      <w:r w:rsidR="00424C69" w:rsidRPr="00424C69">
        <w:rPr>
          <w:sz w:val="20"/>
          <w:szCs w:val="20"/>
        </w:rPr>
        <w:t xml:space="preserve"> UE configured with </w:t>
      </w:r>
      <w:r w:rsidR="004532F2">
        <w:rPr>
          <w:sz w:val="20"/>
          <w:szCs w:val="20"/>
        </w:rPr>
        <w:t xml:space="preserve">an </w:t>
      </w:r>
      <w:r w:rsidR="00424C69" w:rsidRPr="00424C69">
        <w:rPr>
          <w:sz w:val="20"/>
          <w:szCs w:val="20"/>
        </w:rPr>
        <w:t xml:space="preserve">eDRX cycle </w:t>
      </w:r>
      <w:r w:rsidR="004A70E6">
        <w:rPr>
          <w:sz w:val="20"/>
          <w:szCs w:val="20"/>
        </w:rPr>
        <w:t>and camping in such cell is</w:t>
      </w:r>
      <w:r w:rsidR="00424C69" w:rsidRPr="00424C69">
        <w:rPr>
          <w:sz w:val="20"/>
          <w:szCs w:val="20"/>
        </w:rPr>
        <w:t xml:space="preserve"> </w:t>
      </w:r>
      <w:r w:rsidR="00B47672">
        <w:rPr>
          <w:sz w:val="20"/>
          <w:szCs w:val="20"/>
        </w:rPr>
        <w:t xml:space="preserve">automatically </w:t>
      </w:r>
      <w:r w:rsidR="00424C69" w:rsidRPr="00424C69">
        <w:rPr>
          <w:sz w:val="20"/>
          <w:szCs w:val="20"/>
        </w:rPr>
        <w:t xml:space="preserve">assigned to </w:t>
      </w:r>
      <w:r w:rsidR="004532F2">
        <w:rPr>
          <w:sz w:val="20"/>
          <w:szCs w:val="20"/>
        </w:rPr>
        <w:t>the dedicated</w:t>
      </w:r>
      <w:r w:rsidR="00424C69" w:rsidRPr="00424C69">
        <w:rPr>
          <w:sz w:val="20"/>
          <w:szCs w:val="20"/>
        </w:rPr>
        <w:t xml:space="preserve"> subgroup no matter the UE supports CN-assigned subgroup</w:t>
      </w:r>
      <w:r w:rsidR="004532F2">
        <w:rPr>
          <w:sz w:val="20"/>
          <w:szCs w:val="20"/>
        </w:rPr>
        <w:t>ing</w:t>
      </w:r>
      <w:r w:rsidR="00424C69" w:rsidRPr="00424C69">
        <w:rPr>
          <w:sz w:val="20"/>
          <w:szCs w:val="20"/>
        </w:rPr>
        <w:t xml:space="preserve"> or not</w:t>
      </w:r>
      <w:r w:rsidR="004532F2">
        <w:rPr>
          <w:sz w:val="20"/>
          <w:szCs w:val="20"/>
        </w:rPr>
        <w:t>, supports UEID-based subgrouping or not,</w:t>
      </w:r>
      <w:r w:rsidR="00424C69" w:rsidRPr="00424C69">
        <w:rPr>
          <w:sz w:val="20"/>
          <w:szCs w:val="20"/>
        </w:rPr>
        <w:t xml:space="preserve"> and</w:t>
      </w:r>
      <w:r w:rsidR="004A70E6">
        <w:rPr>
          <w:sz w:val="20"/>
          <w:szCs w:val="20"/>
        </w:rPr>
        <w:t>/or</w:t>
      </w:r>
      <w:r w:rsidR="00424C69" w:rsidRPr="00424C69">
        <w:rPr>
          <w:sz w:val="20"/>
          <w:szCs w:val="20"/>
        </w:rPr>
        <w:t xml:space="preserve"> has previously been assigned with a CN-assigned subgroup or not.</w:t>
      </w:r>
      <w:r w:rsidR="00A77802">
        <w:rPr>
          <w:sz w:val="20"/>
          <w:szCs w:val="20"/>
        </w:rPr>
        <w:t xml:space="preserve"> With a new UE capability bit to be introduced for indicating whether a UE supports dedicated </w:t>
      </w:r>
      <w:proofErr w:type="spellStart"/>
      <w:r w:rsidR="00A77802">
        <w:rPr>
          <w:sz w:val="20"/>
          <w:szCs w:val="20"/>
        </w:rPr>
        <w:t>eDRX</w:t>
      </w:r>
      <w:proofErr w:type="spellEnd"/>
      <w:r w:rsidR="00A77802">
        <w:rPr>
          <w:sz w:val="20"/>
          <w:szCs w:val="20"/>
        </w:rPr>
        <w:t xml:space="preserve"> subgrouping</w:t>
      </w:r>
      <w:r w:rsidR="00EC3F2D">
        <w:rPr>
          <w:sz w:val="20"/>
          <w:szCs w:val="20"/>
        </w:rPr>
        <w:t xml:space="preserve"> or not</w:t>
      </w:r>
      <w:r w:rsidR="00A77802">
        <w:rPr>
          <w:sz w:val="20"/>
          <w:szCs w:val="20"/>
        </w:rPr>
        <w:t>, the UE and RAN are perfectly in synch with regards to whether to use the dedicated subgroup ID for the UE</w:t>
      </w:r>
      <w:r w:rsidR="00D93F53">
        <w:rPr>
          <w:sz w:val="20"/>
          <w:szCs w:val="20"/>
        </w:rPr>
        <w:t>’s PEI</w:t>
      </w:r>
      <w:r w:rsidR="00A77802">
        <w:rPr>
          <w:sz w:val="20"/>
          <w:szCs w:val="20"/>
        </w:rPr>
        <w:t xml:space="preserve"> or not.</w:t>
      </w:r>
    </w:p>
    <w:p w14:paraId="6DE2507F" w14:textId="12AFB1A8" w:rsidR="008D2D10" w:rsidRDefault="008D2D10" w:rsidP="008D2D10">
      <w:pPr>
        <w:pStyle w:val="Heading2"/>
      </w:pPr>
      <w:r>
        <w:t>Within the dedicated subgroup</w:t>
      </w:r>
    </w:p>
    <w:p w14:paraId="17DA6343" w14:textId="3BC0F31F" w:rsidR="00424C69" w:rsidRDefault="008D2D10" w:rsidP="00F55B69">
      <w:pPr>
        <w:rPr>
          <w:sz w:val="20"/>
          <w:szCs w:val="20"/>
        </w:rPr>
      </w:pPr>
      <w:r>
        <w:rPr>
          <w:sz w:val="20"/>
          <w:szCs w:val="20"/>
        </w:rPr>
        <w:t xml:space="preserve">Only one dedicated subgroup is needed. </w:t>
      </w:r>
      <w:r w:rsidR="00D93F53">
        <w:rPr>
          <w:sz w:val="20"/>
          <w:szCs w:val="20"/>
        </w:rPr>
        <w:t xml:space="preserve">Among the </w:t>
      </w:r>
      <w:r w:rsidR="00424C69" w:rsidRPr="00424C69">
        <w:rPr>
          <w:sz w:val="20"/>
          <w:szCs w:val="20"/>
        </w:rPr>
        <w:t xml:space="preserve">UEs configured with </w:t>
      </w:r>
      <w:proofErr w:type="spellStart"/>
      <w:r w:rsidR="00424C69" w:rsidRPr="00424C69">
        <w:rPr>
          <w:sz w:val="20"/>
          <w:szCs w:val="20"/>
        </w:rPr>
        <w:t>eDRX</w:t>
      </w:r>
      <w:proofErr w:type="spellEnd"/>
      <w:r w:rsidR="00424C69" w:rsidRPr="00424C69">
        <w:rPr>
          <w:sz w:val="20"/>
          <w:szCs w:val="20"/>
        </w:rPr>
        <w:t xml:space="preserve"> cycles, their PTWs can be offset from one another so that they don't falsely wake up each other. </w:t>
      </w:r>
    </w:p>
    <w:p w14:paraId="537AF84A" w14:textId="7D9EBB9F" w:rsidR="009962A0" w:rsidRDefault="003F6138" w:rsidP="003C70F1">
      <w:pPr>
        <w:spacing w:before="240" w:after="240"/>
        <w:jc w:val="left"/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lastRenderedPageBreak/>
        <w:t>Proposal</w:t>
      </w:r>
      <w:r w:rsidR="002B665E"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RAN2 </w:t>
      </w:r>
      <w:r w:rsidR="008D2D10">
        <w:rPr>
          <w:b/>
          <w:bCs/>
          <w:sz w:val="20"/>
          <w:szCs w:val="20"/>
        </w:rPr>
        <w:t xml:space="preserve">consider </w:t>
      </w:r>
      <w:r w:rsidR="00A77802">
        <w:rPr>
          <w:b/>
          <w:bCs/>
          <w:sz w:val="20"/>
          <w:szCs w:val="20"/>
        </w:rPr>
        <w:t xml:space="preserve">introducing dedicated eDRX subgrouping for UEs configured with eDRX cycles for </w:t>
      </w:r>
      <w:r w:rsidR="007B5AC7">
        <w:rPr>
          <w:b/>
          <w:bCs/>
          <w:sz w:val="20"/>
          <w:szCs w:val="20"/>
        </w:rPr>
        <w:t xml:space="preserve">providing </w:t>
      </w:r>
      <w:r w:rsidR="00A77802">
        <w:rPr>
          <w:b/>
          <w:bCs/>
          <w:sz w:val="20"/>
          <w:szCs w:val="20"/>
        </w:rPr>
        <w:t>better protection to UEs configured with eDRX cycles.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4DF0EF1F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7B5AC7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128EC3C4" w14:textId="77777777" w:rsidR="007B5AC7" w:rsidRDefault="007B5AC7" w:rsidP="007B5AC7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RAN2 </w:t>
      </w:r>
      <w:r>
        <w:rPr>
          <w:b/>
          <w:bCs/>
          <w:sz w:val="20"/>
          <w:szCs w:val="20"/>
        </w:rPr>
        <w:t>consider introducing dedicated eDRX subgrouping for UEs configured with eDRX cycles for providing better protection to UEs configured with eDRX cycles.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D5FA2A5" w14:textId="77777777" w:rsidR="00424C69" w:rsidRDefault="00424C69" w:rsidP="00A91399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424C69">
        <w:rPr>
          <w:rFonts w:eastAsiaTheme="minorEastAsia"/>
        </w:rPr>
        <w:t xml:space="preserve">R2-116bise Chair Notes Jan 28 EOM_rev2 </w:t>
      </w:r>
    </w:p>
    <w:p w14:paraId="61C0ADDA" w14:textId="3812B8B3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1603" w14:textId="77777777" w:rsidR="00092D2D" w:rsidRDefault="00092D2D">
      <w:r>
        <w:separator/>
      </w:r>
    </w:p>
  </w:endnote>
  <w:endnote w:type="continuationSeparator" w:id="0">
    <w:p w14:paraId="4642D271" w14:textId="77777777" w:rsidR="00092D2D" w:rsidRDefault="0009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DB68" w14:textId="77777777" w:rsidR="00092D2D" w:rsidRDefault="00092D2D">
      <w:r>
        <w:separator/>
      </w:r>
    </w:p>
  </w:footnote>
  <w:footnote w:type="continuationSeparator" w:id="0">
    <w:p w14:paraId="74010FB3" w14:textId="77777777" w:rsidR="00092D2D" w:rsidRDefault="00092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27F89"/>
    <w:multiLevelType w:val="hybridMultilevel"/>
    <w:tmpl w:val="CE3A002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5822"/>
    <w:multiLevelType w:val="hybridMultilevel"/>
    <w:tmpl w:val="BFE40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FBE"/>
    <w:multiLevelType w:val="hybridMultilevel"/>
    <w:tmpl w:val="54522A2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2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93A04"/>
    <w:multiLevelType w:val="hybridMultilevel"/>
    <w:tmpl w:val="FA90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402C3"/>
    <w:multiLevelType w:val="hybridMultilevel"/>
    <w:tmpl w:val="3F8E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94637"/>
    <w:multiLevelType w:val="hybridMultilevel"/>
    <w:tmpl w:val="AC302752"/>
    <w:lvl w:ilvl="0" w:tplc="3F642DB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4"/>
  </w:num>
  <w:num w:numId="5">
    <w:abstractNumId w:val="17"/>
  </w:num>
  <w:num w:numId="6">
    <w:abstractNumId w:val="34"/>
  </w:num>
  <w:num w:numId="7">
    <w:abstractNumId w:val="8"/>
  </w:num>
  <w:num w:numId="8">
    <w:abstractNumId w:val="20"/>
  </w:num>
  <w:num w:numId="9">
    <w:abstractNumId w:val="21"/>
  </w:num>
  <w:num w:numId="10">
    <w:abstractNumId w:val="24"/>
  </w:num>
  <w:num w:numId="11">
    <w:abstractNumId w:val="22"/>
  </w:num>
  <w:num w:numId="12">
    <w:abstractNumId w:val="19"/>
  </w:num>
  <w:num w:numId="13">
    <w:abstractNumId w:val="35"/>
  </w:num>
  <w:num w:numId="14">
    <w:abstractNumId w:val="7"/>
  </w:num>
  <w:num w:numId="15">
    <w:abstractNumId w:val="2"/>
  </w:num>
  <w:num w:numId="16">
    <w:abstractNumId w:val="39"/>
  </w:num>
  <w:num w:numId="17">
    <w:abstractNumId w:val="33"/>
  </w:num>
  <w:num w:numId="18">
    <w:abstractNumId w:val="16"/>
  </w:num>
  <w:num w:numId="19">
    <w:abstractNumId w:val="26"/>
  </w:num>
  <w:num w:numId="20">
    <w:abstractNumId w:val="32"/>
  </w:num>
  <w:num w:numId="21">
    <w:abstractNumId w:val="3"/>
  </w:num>
  <w:num w:numId="22">
    <w:abstractNumId w:val="27"/>
  </w:num>
  <w:num w:numId="23">
    <w:abstractNumId w:val="1"/>
  </w:num>
  <w:num w:numId="24">
    <w:abstractNumId w:val="5"/>
  </w:num>
  <w:num w:numId="25">
    <w:abstractNumId w:val="38"/>
  </w:num>
  <w:num w:numId="26">
    <w:abstractNumId w:val="14"/>
  </w:num>
  <w:num w:numId="27">
    <w:abstractNumId w:val="6"/>
  </w:num>
  <w:num w:numId="28">
    <w:abstractNumId w:val="12"/>
  </w:num>
  <w:num w:numId="29">
    <w:abstractNumId w:val="40"/>
  </w:num>
  <w:num w:numId="30">
    <w:abstractNumId w:val="2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1"/>
  </w:num>
  <w:num w:numId="34">
    <w:abstractNumId w:val="0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9"/>
  </w:num>
  <w:num w:numId="38">
    <w:abstractNumId w:val="28"/>
  </w:num>
  <w:num w:numId="39">
    <w:abstractNumId w:val="13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602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2D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A9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401"/>
    <w:rsid w:val="001559FA"/>
    <w:rsid w:val="00155BFB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A90"/>
    <w:rsid w:val="00326957"/>
    <w:rsid w:val="00326AE2"/>
    <w:rsid w:val="00326DE8"/>
    <w:rsid w:val="00326E13"/>
    <w:rsid w:val="00327792"/>
    <w:rsid w:val="00330D56"/>
    <w:rsid w:val="00330DD4"/>
    <w:rsid w:val="003311E9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2F2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30"/>
    <w:rsid w:val="007A4D04"/>
    <w:rsid w:val="007A4D54"/>
    <w:rsid w:val="007A59F6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AC7"/>
    <w:rsid w:val="007B6676"/>
    <w:rsid w:val="007B6AFA"/>
    <w:rsid w:val="007B7557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373F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3F53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5C4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3F2D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4D52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98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5</cp:revision>
  <cp:lastPrinted>2007-06-18T22:08:00Z</cp:lastPrinted>
  <dcterms:created xsi:type="dcterms:W3CDTF">2022-02-14T22:17:00Z</dcterms:created>
  <dcterms:modified xsi:type="dcterms:W3CDTF">2022-02-14T22:23:00Z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